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67A" w14:textId="77777777" w:rsidR="00EA56B9" w:rsidRPr="00402488" w:rsidRDefault="00EA56B9" w:rsidP="00EA56B9">
      <w:pPr>
        <w:widowControl w:val="0"/>
        <w:shd w:val="clear" w:color="auto" w:fill="FFFFFF"/>
        <w:autoSpaceDE w:val="0"/>
        <w:autoSpaceDN w:val="0"/>
        <w:adjustRightInd w:val="0"/>
        <w:ind w:right="19"/>
        <w:jc w:val="right"/>
        <w:rPr>
          <w:color w:val="000000"/>
          <w:lang w:eastAsia="en-US"/>
        </w:rPr>
      </w:pPr>
      <w:r w:rsidRPr="00402488">
        <w:rPr>
          <w:color w:val="000000"/>
          <w:spacing w:val="-13"/>
        </w:rPr>
        <w:t>APSTIPRINĀTS</w:t>
      </w:r>
    </w:p>
    <w:p w14:paraId="1F3392B4" w14:textId="77777777" w:rsidR="00EA56B9" w:rsidRPr="00402488" w:rsidRDefault="00EA56B9" w:rsidP="00EA56B9">
      <w:pPr>
        <w:jc w:val="right"/>
        <w:rPr>
          <w:color w:val="000000"/>
        </w:rPr>
      </w:pPr>
      <w:r w:rsidRPr="00402488">
        <w:rPr>
          <w:color w:val="000000"/>
        </w:rPr>
        <w:t xml:space="preserve">ar Sabiedrisko elektronisko plašsaziņas līdzekļu padomes </w:t>
      </w:r>
    </w:p>
    <w:p w14:paraId="188FCAF3" w14:textId="41C46410" w:rsidR="00EA56B9" w:rsidRPr="00402488" w:rsidRDefault="00EA56B9" w:rsidP="00EA56B9">
      <w:pPr>
        <w:jc w:val="right"/>
        <w:rPr>
          <w:color w:val="000000"/>
        </w:rPr>
      </w:pPr>
      <w:r w:rsidRPr="00402488">
        <w:rPr>
          <w:color w:val="000000"/>
        </w:rPr>
        <w:t xml:space="preserve">2023. gada </w:t>
      </w:r>
      <w:r w:rsidR="0082289D">
        <w:rPr>
          <w:color w:val="000000"/>
        </w:rPr>
        <w:t>9</w:t>
      </w:r>
      <w:r w:rsidRPr="00402488">
        <w:rPr>
          <w:color w:val="000000"/>
        </w:rPr>
        <w:t>. marta lēmumu Nr.</w:t>
      </w:r>
      <w:r w:rsidR="003F239E">
        <w:rPr>
          <w:color w:val="000000"/>
        </w:rPr>
        <w:t>10</w:t>
      </w:r>
      <w:r w:rsidRPr="00402488">
        <w:rPr>
          <w:color w:val="000000"/>
        </w:rPr>
        <w:t xml:space="preserve">/1-1 </w:t>
      </w:r>
    </w:p>
    <w:p w14:paraId="5F6991A9" w14:textId="77777777" w:rsidR="00EA56B9" w:rsidRPr="00402488" w:rsidRDefault="00EA56B9" w:rsidP="00EA56B9">
      <w:pPr>
        <w:jc w:val="right"/>
        <w:rPr>
          <w:color w:val="000000"/>
        </w:rPr>
      </w:pPr>
      <w:r w:rsidRPr="00402488">
        <w:rPr>
          <w:color w:val="000000"/>
        </w:rPr>
        <w:t>Padomes priekšsēdētājs</w:t>
      </w:r>
    </w:p>
    <w:p w14:paraId="7005E1E0" w14:textId="77777777" w:rsidR="00EA56B9" w:rsidRPr="00402488" w:rsidRDefault="00EA56B9" w:rsidP="00EA56B9">
      <w:pPr>
        <w:jc w:val="right"/>
        <w:rPr>
          <w:color w:val="000000"/>
        </w:rPr>
      </w:pPr>
    </w:p>
    <w:p w14:paraId="2CB73447" w14:textId="77777777" w:rsidR="00EA56B9" w:rsidRPr="00402488" w:rsidRDefault="00EA56B9" w:rsidP="00EA56B9">
      <w:pPr>
        <w:jc w:val="right"/>
        <w:rPr>
          <w:color w:val="000000"/>
        </w:rPr>
      </w:pPr>
      <w:r w:rsidRPr="00402488">
        <w:rPr>
          <w:kern w:val="2"/>
          <w:lang w:eastAsia="zh-CN"/>
        </w:rPr>
        <w:t>Jānis Siksnis</w:t>
      </w:r>
      <w:r w:rsidRPr="00402488">
        <w:rPr>
          <w:color w:val="000000"/>
        </w:rPr>
        <w:t xml:space="preserve"> ___________________</w:t>
      </w:r>
    </w:p>
    <w:p w14:paraId="0B5D62D6" w14:textId="77777777" w:rsidR="00EA56B9" w:rsidRPr="0082289D" w:rsidRDefault="00EA56B9" w:rsidP="00EA56B9">
      <w:pPr>
        <w:pStyle w:val="NoSpacing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82289D">
        <w:rPr>
          <w:rFonts w:ascii="Times New Roman" w:hAnsi="Times New Roman"/>
          <w:i/>
          <w:sz w:val="24"/>
          <w:szCs w:val="24"/>
        </w:rPr>
        <w:t>(paraksts)*</w:t>
      </w:r>
    </w:p>
    <w:p w14:paraId="2F5DDA35" w14:textId="77777777" w:rsidR="00614A97" w:rsidRPr="00402488" w:rsidRDefault="00614A97" w:rsidP="00614A97">
      <w:pPr>
        <w:jc w:val="right"/>
        <w:rPr>
          <w:color w:val="000000"/>
        </w:rPr>
      </w:pPr>
    </w:p>
    <w:p w14:paraId="68709E15" w14:textId="77777777" w:rsidR="00F8004B" w:rsidRPr="00402488" w:rsidRDefault="00F8004B" w:rsidP="00C52713">
      <w:pPr>
        <w:jc w:val="both"/>
        <w:rPr>
          <w:color w:val="000000" w:themeColor="text1"/>
        </w:rPr>
      </w:pPr>
    </w:p>
    <w:p w14:paraId="5C9CBFE8" w14:textId="77777777" w:rsidR="00F8004B" w:rsidRPr="00402488" w:rsidRDefault="00F8004B" w:rsidP="00C52713">
      <w:pPr>
        <w:jc w:val="both"/>
        <w:rPr>
          <w:color w:val="000000" w:themeColor="text1"/>
        </w:rPr>
      </w:pPr>
    </w:p>
    <w:p w14:paraId="1F765563" w14:textId="086C3A55" w:rsidR="00F1691B" w:rsidRPr="0082289D" w:rsidRDefault="00F1691B" w:rsidP="00F8004B">
      <w:pPr>
        <w:jc w:val="center"/>
        <w:rPr>
          <w:color w:val="000000" w:themeColor="text1"/>
        </w:rPr>
      </w:pPr>
      <w:r w:rsidRPr="0082289D">
        <w:rPr>
          <w:b/>
          <w:bCs/>
          <w:color w:val="000000" w:themeColor="text1"/>
        </w:rPr>
        <w:t>Kārtība, kādā tiek izskatīti sabiedrisko elektronisko plašsaziņas līdzekļu ombuda</w:t>
      </w:r>
      <w:r w:rsidR="00AF59D9" w:rsidRPr="0082289D">
        <w:rPr>
          <w:b/>
          <w:bCs/>
          <w:color w:val="000000" w:themeColor="text1"/>
        </w:rPr>
        <w:t>m</w:t>
      </w:r>
      <w:r w:rsidRPr="0082289D">
        <w:rPr>
          <w:b/>
          <w:bCs/>
          <w:color w:val="000000" w:themeColor="text1"/>
        </w:rPr>
        <w:t xml:space="preserve"> </w:t>
      </w:r>
      <w:r w:rsidR="00AF59D9" w:rsidRPr="0082289D">
        <w:rPr>
          <w:b/>
          <w:bCs/>
          <w:color w:val="000000" w:themeColor="text1"/>
        </w:rPr>
        <w:t>iesniegtie</w:t>
      </w:r>
      <w:r w:rsidRPr="0082289D">
        <w:rPr>
          <w:b/>
          <w:bCs/>
          <w:color w:val="000000" w:themeColor="text1"/>
        </w:rPr>
        <w:t xml:space="preserve"> iesniegumi</w:t>
      </w:r>
    </w:p>
    <w:p w14:paraId="0E6519F0" w14:textId="19B679BB" w:rsidR="00C700A7" w:rsidRPr="0082289D" w:rsidRDefault="00C700A7" w:rsidP="00C52713">
      <w:pPr>
        <w:jc w:val="both"/>
        <w:rPr>
          <w:color w:val="000000" w:themeColor="text1"/>
        </w:rPr>
      </w:pPr>
    </w:p>
    <w:p w14:paraId="4FAE8E5B" w14:textId="01C115A9" w:rsidR="00C700A7" w:rsidRPr="00402488" w:rsidRDefault="00F8004B" w:rsidP="000C2699">
      <w:pPr>
        <w:rPr>
          <w:b/>
          <w:bCs/>
          <w:color w:val="000000" w:themeColor="text1"/>
        </w:rPr>
      </w:pPr>
      <w:r w:rsidRPr="00402488">
        <w:rPr>
          <w:b/>
          <w:bCs/>
          <w:color w:val="000000" w:themeColor="text1"/>
        </w:rPr>
        <w:t>Saturs</w:t>
      </w:r>
    </w:p>
    <w:p w14:paraId="6768A4DF" w14:textId="77777777" w:rsidR="00EA3204" w:rsidRPr="00402488" w:rsidRDefault="00EA3204" w:rsidP="00EA3204">
      <w:pPr>
        <w:jc w:val="center"/>
        <w:rPr>
          <w:b/>
          <w:bCs/>
          <w:color w:val="000000" w:themeColor="text1"/>
        </w:rPr>
      </w:pPr>
    </w:p>
    <w:p w14:paraId="69265EB2" w14:textId="321F9C6F" w:rsidR="00F8004B" w:rsidRPr="00402488" w:rsidRDefault="00F8004B" w:rsidP="00F800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Vispārīgi </w:t>
      </w:r>
    </w:p>
    <w:p w14:paraId="273F758B" w14:textId="51ECD74C" w:rsidR="00F8004B" w:rsidRPr="00402488" w:rsidRDefault="00F8004B" w:rsidP="00F800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Izmantotie termini</w:t>
      </w:r>
    </w:p>
    <w:p w14:paraId="060C5C6C" w14:textId="67C05B96" w:rsidR="00F8004B" w:rsidRPr="00402488" w:rsidRDefault="00F8004B" w:rsidP="00F800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Iesniegum</w:t>
      </w:r>
      <w:r w:rsidR="007F481D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iesniegšana </w:t>
      </w:r>
    </w:p>
    <w:p w14:paraId="0014F1E2" w14:textId="5A13314B" w:rsidR="007F481D" w:rsidRPr="00402488" w:rsidRDefault="007F481D" w:rsidP="00F800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Iesniegumu izskatīšanas kārtība</w:t>
      </w:r>
    </w:p>
    <w:p w14:paraId="2D56F312" w14:textId="6A508F5E" w:rsidR="007F481D" w:rsidRPr="00402488" w:rsidRDefault="007F481D" w:rsidP="00F800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Iesniegumu izskatīšanas termiņi</w:t>
      </w:r>
    </w:p>
    <w:p w14:paraId="2F990ADA" w14:textId="2013EAEE" w:rsidR="007F481D" w:rsidRPr="00402488" w:rsidRDefault="007F481D" w:rsidP="00F800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Informācija par saņemtajiem iesniegumiem</w:t>
      </w:r>
    </w:p>
    <w:p w14:paraId="523C9D43" w14:textId="77777777" w:rsidR="00F8004B" w:rsidRPr="00402488" w:rsidRDefault="00F8004B" w:rsidP="00C52713">
      <w:pPr>
        <w:jc w:val="both"/>
        <w:rPr>
          <w:color w:val="000000" w:themeColor="text1"/>
        </w:rPr>
      </w:pPr>
    </w:p>
    <w:p w14:paraId="45197C35" w14:textId="7B47FFEE" w:rsidR="00C700A7" w:rsidRPr="00402488" w:rsidRDefault="007F481D" w:rsidP="007F48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Vispārīgi</w:t>
      </w:r>
    </w:p>
    <w:p w14:paraId="13747328" w14:textId="1CF0F6C7" w:rsidR="00C96678" w:rsidRPr="00402488" w:rsidRDefault="007F481D" w:rsidP="007F481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Kārtība, kādā tiek izskatīti sabiedrisko elektronisko plašsaziņas līdzekļu ombuda</w:t>
      </w:r>
      <w:r w:rsidR="00CF779F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F59D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iesniegtie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iesniegumi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izveidota, pamatojoties uz </w:t>
      </w:r>
      <w:r w:rsidR="00C700A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Sabiedrisko elektronisko plašsaziņas līdzekļu</w:t>
      </w:r>
      <w:r w:rsidR="00260566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to pārvaldības</w:t>
      </w:r>
      <w:r w:rsidR="00C700A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likum</w:t>
      </w:r>
      <w:r w:rsidR="00FF51A2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60566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652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citiem </w:t>
      </w:r>
      <w:r w:rsidR="000F5C0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Latvijas Republikas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normatīvajiem aktiem.</w:t>
      </w:r>
    </w:p>
    <w:p w14:paraId="7DB6316A" w14:textId="692133B7" w:rsidR="007F481D" w:rsidRPr="00402488" w:rsidRDefault="007F481D" w:rsidP="007F481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Kārtība </w:t>
      </w:r>
      <w:r w:rsidR="007A5EF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nosaka </w:t>
      </w:r>
      <w:r w:rsidR="003B7BB3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sabiedrisko elektronisko plašsaziņas līdzekļu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ombudam adresēto iesniegumu 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iesniegšanas un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izskatīšanas procesu, termiņus, iesniegumu iesniegšanas veidus, </w:t>
      </w:r>
      <w:r w:rsidR="005B02FB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atbildes sniegšanu iesniedzējiem, sniegto informāciju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saņemtajiem iesniegumiem.</w:t>
      </w:r>
    </w:p>
    <w:p w14:paraId="66239CFC" w14:textId="77777777" w:rsidR="007F481D" w:rsidRPr="00402488" w:rsidRDefault="007F481D" w:rsidP="007F481D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DF652" w14:textId="76E9050E" w:rsidR="007F481D" w:rsidRPr="00402488" w:rsidRDefault="007F481D" w:rsidP="007F48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Izmantotie termini</w:t>
      </w:r>
      <w:r w:rsidR="005B02FB"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saīsinājumi</w:t>
      </w:r>
    </w:p>
    <w:p w14:paraId="7DDE1202" w14:textId="6916B7CD" w:rsidR="00C00D3A" w:rsidRPr="00402488" w:rsidRDefault="00C00D3A" w:rsidP="007F481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Sabiedrisko elektronisko plašsaziņas līdzekļu un to pārvaldības likums, turpmāk arī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SEPL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</w:p>
    <w:p w14:paraId="1BCC1319" w14:textId="2259CBB6" w:rsidR="007F481D" w:rsidRPr="00402488" w:rsidRDefault="007F481D" w:rsidP="007F481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Sabiedriskie elektroniskie plašsaziņas līdzekļi vai sabiedriskie mediji ir </w:t>
      </w:r>
      <w:r w:rsidR="007A5EF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valsts SIA “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Latvijas Radio</w:t>
      </w:r>
      <w:r w:rsidR="007A5EF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turpmāk arī -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LR) </w:t>
      </w:r>
      <w:r w:rsidR="007A5EF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un valsts SIA “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Latvijas Televīzija</w:t>
      </w:r>
      <w:r w:rsidR="007A5EF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turpmāk arī -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LTV)</w:t>
      </w:r>
      <w:r w:rsidR="00DF0232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515FA2" w14:textId="14D26195" w:rsidR="005B02FB" w:rsidRPr="00402488" w:rsidRDefault="005B02FB" w:rsidP="00C00D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Sabiedrisko </w:t>
      </w:r>
      <w:r w:rsidR="00AF59D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lektronisko plašsaziņas līdzekļu padome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turpmāk arī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SEPLP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7A4BF4" w14:textId="38EDCD97" w:rsidR="003B7BB3" w:rsidRPr="00402488" w:rsidRDefault="003B7BB3" w:rsidP="00C00D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Sabiedrisko elektronisko plašsaziņas līdzekļu ombuds, turpmāk arī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ombuds.</w:t>
      </w:r>
    </w:p>
    <w:p w14:paraId="629D0F1C" w14:textId="3899C8E0" w:rsidR="00C00D3A" w:rsidRPr="00402488" w:rsidRDefault="00C00D3A" w:rsidP="00C00D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Profesionālā ētika – normas un procedūras, </w:t>
      </w:r>
      <w:r w:rsidR="00E0195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 attiecas uz sabiedrisko mediju darbinieku rīcību un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aprakstītas LR un LTV 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īcības un ētikas kodeksos, k</w:t>
      </w:r>
      <w:r w:rsidR="00E0195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uri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pieejami sabiedrisko mediju tīmekļa mājas lapās un ombuda tīmekļa vietnes sadaļā SEPLP mājas lapā.</w:t>
      </w:r>
    </w:p>
    <w:p w14:paraId="670EDAA5" w14:textId="5BA3285F" w:rsidR="00C00D3A" w:rsidRPr="00402488" w:rsidRDefault="00C00D3A" w:rsidP="00C00D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Sabiedrisko elektronisko plašsaziņas līdzekļu 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īcības un ētikas kodeksi – dokumenti, kas apraksta profesionālās ētikas pieejas, principus un normas to aktuālajās redakcijās (iesnieguma iesniegšanas datumā).</w:t>
      </w:r>
    </w:p>
    <w:p w14:paraId="7C7449BA" w14:textId="77777777" w:rsidR="00BE2CD1" w:rsidRPr="00402488" w:rsidRDefault="0031427F" w:rsidP="00BE2CD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Sabiedrisko elektronisko plašsaziņas līdzekļu redakcionālās vadlīnijas ir </w:t>
      </w:r>
      <w:r w:rsidR="00E85BCF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LR un LTV galveno redaktoru un ombuda izveidoti </w:t>
      </w:r>
      <w:r w:rsidR="00407783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dokumenti, kuros aprakstītas LR un LTV satura veidošanas vērtības un principi, kas attiecas uz visām satura izplatīšanas platformām, programmām, formātiem, žanriem un tematiem.</w:t>
      </w:r>
    </w:p>
    <w:p w14:paraId="549F3B7C" w14:textId="0C4D7317" w:rsidR="00FF51A2" w:rsidRPr="00402488" w:rsidRDefault="007F481D" w:rsidP="00BE2CD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Iesniegums</w:t>
      </w:r>
      <w:r w:rsidR="005B02FB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jebkuras personas iesniegums, kas saistīts ar ombuda pienākumiem, kuri minēti 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SEPLPL</w:t>
      </w:r>
      <w:r w:rsidR="005B02FB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un </w:t>
      </w:r>
      <w:r w:rsidR="005B02FB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2FB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pantā</w:t>
      </w:r>
      <w:r w:rsidR="00C00D3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7C5C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BFFB11" w14:textId="3FFDB2CE" w:rsidR="00EA3204" w:rsidRPr="00402488" w:rsidRDefault="00733CBF" w:rsidP="00FF51A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Iesniedzējs – persona, kas vērsusies pie ombuda ar </w:t>
      </w:r>
      <w:r w:rsidR="00F224F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esniegumu.</w:t>
      </w:r>
      <w:r w:rsidR="00EA3204" w:rsidRPr="0040248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344FCABD" w14:textId="64436840" w:rsidR="00C96678" w:rsidRPr="00402488" w:rsidRDefault="00C96678" w:rsidP="00C52713">
      <w:pPr>
        <w:jc w:val="both"/>
        <w:rPr>
          <w:color w:val="000000" w:themeColor="text1"/>
          <w:highlight w:val="yellow"/>
        </w:rPr>
      </w:pPr>
    </w:p>
    <w:p w14:paraId="09033CB0" w14:textId="39BF895B" w:rsidR="00C96678" w:rsidRPr="00402488" w:rsidRDefault="00C96678" w:rsidP="00C527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Iesniegum</w:t>
      </w:r>
      <w:r w:rsidR="00E01957"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s, tā iesniegšanas kārtība</w:t>
      </w:r>
    </w:p>
    <w:p w14:paraId="59A18F91" w14:textId="7073DD0B" w:rsidR="00C96678" w:rsidRPr="00402488" w:rsidRDefault="003B3493" w:rsidP="00C5271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C9667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ebkura persona var vērsties pie sabiedrisko elektronisko plašsaziņas līdzekļu ombuda ar </w:t>
      </w:r>
      <w:r w:rsidR="00F224F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C9667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esniegumu, lūdzot izvērtēt sabiedrisko elektronisko plašsaziņas līdzekļu programmu un iepriekš sniegto pakalpojumu atbilstību </w:t>
      </w:r>
      <w:r w:rsidR="0031427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SEPL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3B7BB3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31427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4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4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panta</w:t>
      </w:r>
      <w:r w:rsidR="00C9667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pirmajā daļā minētajiem dokumentiem.</w:t>
      </w:r>
    </w:p>
    <w:p w14:paraId="451EF616" w14:textId="561AE451" w:rsidR="00A96D6D" w:rsidRPr="00402488" w:rsidRDefault="003B3493" w:rsidP="00A96D6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Iesniegumu ombudam </w:t>
      </w:r>
      <w:r w:rsidR="00DA3303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var iesniegt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dažādos veidos</w:t>
      </w:r>
      <w:r w:rsidR="00E0195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A3303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ievērojot </w:t>
      </w:r>
      <w:r w:rsidR="00E0195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Iesniegumu likuma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5BC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5BC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</w:t>
      </w:r>
      <w:r w:rsidR="00DA3303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ā noteikto iesniegumu iesniegšanas kārtību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Elektronisk</w:t>
      </w:r>
      <w:r w:rsidR="00CC41E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iesniegumus var iesniegt, izmantojot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SEPLP mājas lapā pieejamo iesnieguma formu vai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e-pasta adresi: </w:t>
      </w:r>
      <w:hyperlink r:id="rId6" w:history="1">
        <w:r w:rsidR="004B652C" w:rsidRPr="00402488">
          <w:rPr>
            <w:rStyle w:val="Hyperlink"/>
            <w:rFonts w:ascii="Times New Roman" w:hAnsi="Times New Roman" w:cs="Times New Roman"/>
            <w:sz w:val="24"/>
            <w:szCs w:val="24"/>
          </w:rPr>
          <w:t>ombuds@seplp.lv</w:t>
        </w:r>
      </w:hyperlink>
      <w:r w:rsidR="004B652C" w:rsidRPr="00402488">
        <w:rPr>
          <w:rFonts w:ascii="Times New Roman" w:hAnsi="Times New Roman" w:cs="Times New Roman"/>
          <w:sz w:val="24"/>
          <w:szCs w:val="24"/>
        </w:rPr>
        <w:t xml:space="preserve">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Elektroniski iesniegtiem iesniegumiem ir jābūt parakstītiem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 drošu elektronisko parakstu</w:t>
      </w:r>
      <w:r w:rsidR="0041146C" w:rsidRPr="00402488">
        <w:rPr>
          <w:rFonts w:ascii="Times New Roman" w:hAnsi="Times New Roman" w:cs="Times New Roman"/>
          <w:sz w:val="24"/>
          <w:szCs w:val="24"/>
        </w:rPr>
        <w:t xml:space="preserve"> </w:t>
      </w:r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vai izmantojot tiešsaistes form</w:t>
      </w:r>
      <w:r w:rsidR="005E3016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kura pieejama Vienotajā valsts un pašvaldību pakalpojumu portālā (</w:t>
      </w:r>
      <w:hyperlink r:id="rId7" w:history="1">
        <w:r w:rsidR="004F2EFD" w:rsidRPr="004F2EFD">
          <w:rPr>
            <w:rStyle w:val="Hyperlink"/>
            <w:rFonts w:ascii="Times New Roman" w:hAnsi="Times New Roman" w:cs="Times New Roman"/>
            <w:sz w:val="24"/>
            <w:szCs w:val="24"/>
          </w:rPr>
          <w:t>www.latvija.gov.lv</w:t>
        </w:r>
      </w:hyperlink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kurā tiek veikta</w:t>
      </w:r>
      <w:r w:rsidR="0041146C" w:rsidRPr="00402488">
        <w:rPr>
          <w:rFonts w:ascii="Times New Roman" w:hAnsi="Times New Roman" w:cs="Times New Roman"/>
          <w:sz w:val="24"/>
          <w:szCs w:val="24"/>
        </w:rPr>
        <w:t xml:space="preserve"> </w:t>
      </w:r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personas identitātes pārbaude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96D6D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Iestāde ir tiesīga atstāt iesniegumu bez izskatīšanas šādos gadījumos:</w:t>
      </w:r>
    </w:p>
    <w:p w14:paraId="7ED1A6EE" w14:textId="5B346A5E" w:rsidR="00A96D6D" w:rsidRPr="00402488" w:rsidRDefault="00A96D6D" w:rsidP="00B823D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iesniegumā nav norādīts iesnieguma iesniedzējs (fiziskajai personai — vārds, uzvārds un adrese; juridiskajai personai — nosaukums un juridiskā adrese);</w:t>
      </w:r>
    </w:p>
    <w:p w14:paraId="43583B62" w14:textId="09F8E0CE" w:rsidR="00B823D3" w:rsidRPr="00402488" w:rsidRDefault="00A96D6D" w:rsidP="00B823D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iesniegums nav parakstīts, izņemot </w:t>
      </w:r>
      <w:r w:rsidR="002B097A"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Iesniegumu</w:t>
      </w:r>
      <w:r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likuma 2.panta ceturtajā daļā minēto gadījumu;</w:t>
      </w:r>
    </w:p>
    <w:p w14:paraId="0A0999CE" w14:textId="20B5F69E" w:rsidR="00B823D3" w:rsidRPr="00402488" w:rsidRDefault="00A96D6D" w:rsidP="00B823D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iesnieguma saturs ir klaji aizskarošs un izaicinošs;</w:t>
      </w:r>
    </w:p>
    <w:p w14:paraId="561216A5" w14:textId="77777777" w:rsidR="002B097A" w:rsidRPr="00402488" w:rsidRDefault="00A96D6D" w:rsidP="002B097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iesnieguma teksts objektīvi nav salasāms vai saprotams;</w:t>
      </w:r>
    </w:p>
    <w:p w14:paraId="30BD45D7" w14:textId="4FF16295" w:rsidR="00CC41E9" w:rsidRPr="00402488" w:rsidRDefault="00A96D6D" w:rsidP="002B097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atbilde uz iesniegumu ir dota iepriekš, un tā saturs attiecībā uz iepriekšējā iesniegumā norādītajiem tiesiskajiem vai faktiskajiem apstākļiem pēc būtības nav mainījies.</w:t>
      </w:r>
      <w:r w:rsidR="003B3493"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3D3" w:rsidRPr="00402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C85DC57" w14:textId="484CE677" w:rsidR="005E3016" w:rsidRPr="00402488" w:rsidRDefault="005E3016" w:rsidP="00CC41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 elektroniski iesniegts 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iesniegums 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nav parakstīt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drošu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elektronisko parakstu, </w:t>
      </w:r>
      <w:r w:rsidR="000C0A7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tas tiek reģistrēts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saskaņā ar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šīs k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ā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rtības 4.1.punkta noteikumiem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tiek veiktas darbības saskaņā ar šīs kārtības 4.2.punktu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0A7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 ar iesniedzēju nav iespējams sazināties, ombuds ir tiesīgs atstāt iesniegumu bez izskatīšanas vai 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sniegt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atbildi kā vienkāršu elektronisko vēstuli.</w:t>
      </w:r>
      <w:r w:rsidR="0070433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FFAFEA7" w14:textId="142F1002" w:rsidR="00CC41E9" w:rsidRPr="00402488" w:rsidRDefault="00CC41E9" w:rsidP="00CC41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Atbilstoši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Iesniegumu likuma 3.</w:t>
      </w:r>
      <w:r w:rsidR="00B4169B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pantam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esniegumā norādāmas ziņas par tā iesniedzēju (fiziskajai personai — vārds un uzvārds, kā arī adrese un, ja nepieciešams, citas ziņas, kas palīdz sazināties ar iesniedzēju; juridiskajai personai — nosaukums un juridiskā adrese), kā arī persona, ar kuru sazināties iesnieguma izskatīšanas procesa laikā.</w:t>
      </w:r>
    </w:p>
    <w:p w14:paraId="5877C276" w14:textId="60B5EDBC" w:rsidR="00733CBF" w:rsidRPr="00402488" w:rsidRDefault="00733CBF" w:rsidP="00CC41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Ja persona vēlas, lai ombudam ir iespēja sazināties ar 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esniedzēju 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esnieguma izskatīšanas laikā, persona 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esniegumam pievieno atbilstošu informāciju (e-pasta adresi, tālruņa numuru). </w:t>
      </w:r>
    </w:p>
    <w:p w14:paraId="2756DB82" w14:textId="3D36336F" w:rsidR="00CC41E9" w:rsidRPr="00402488" w:rsidRDefault="00E65772" w:rsidP="00C5271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Iesniedzot 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361FE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esniegumu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kas attiecas uz sabiedrisko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elektronisko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plašsaziņas līdzekļu profesionālās ētikas pārkāpumiem</w:t>
      </w:r>
      <w:r w:rsidR="005B069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iesniedzēj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</w:t>
      </w:r>
      <w:r w:rsidR="007301B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vēlams,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norād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īt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kurš no</w:t>
      </w:r>
      <w:r w:rsidR="002B09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īcības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ētikas kodeksa punkti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 ir pārkāpts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aprakst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ī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 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notikušā apstākļus un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norād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ī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 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sabiedrisko elektronisko 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plašsaziņas līdzek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li, tā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platformu, </w:t>
      </w:r>
      <w:r w:rsidR="00CC41E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programmu, 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publikācijas datumu, autoru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E77D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Iesniegumus par sabiedrisko elektronisko plašsaziņas </w:t>
      </w:r>
      <w:r w:rsidR="00B4169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līdzekļu </w:t>
      </w:r>
      <w:r w:rsidR="009E77D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saturu var iesniegt</w:t>
      </w:r>
      <w:r w:rsidR="00044A8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sešu mēnešu laikā kopš tā pirmās publicēšanas reizes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C05195A" w14:textId="111F7011" w:rsidR="00E65772" w:rsidRPr="0082289D" w:rsidRDefault="00E65772" w:rsidP="00C5271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 iespējams</w:t>
      </w:r>
      <w:r w:rsidR="00FF51A2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tas nepieciešams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iesniedzējs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CC41E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esniegumam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pievieno saiti vai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esniegumā minētā 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satura vienības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kopiju</w:t>
      </w:r>
      <w:r w:rsidR="005B65B2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(ja nepieciešams</w:t>
      </w:r>
      <w:r w:rsidR="00FF51A2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B65B2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ievietojot kādā no publiski pieejamiem bezmaksas resursiem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pievienojot saiti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esniegumam</w:t>
      </w:r>
      <w:r w:rsidR="005B65B2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4F206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E1B0441" w14:textId="065DDCD7" w:rsidR="00322771" w:rsidRPr="0082289D" w:rsidRDefault="00322771" w:rsidP="00C5271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 iesniedzējs sazinās ar ombudu, jo vēlas izteikt viedokli vai uzdot jautājumus par sabiedrisko mediju darbu, un nav nepieciešams veidot atzinumu</w:t>
      </w:r>
      <w:r w:rsidR="00E01E05"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 profesionālās ētikas pārkāpumu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ombuds sniedz atbildi iesniedzējam tā iesniegumam atbilstošā formā (vēstule, e-pasta vēstule, pa tālruni, klātienē). </w:t>
      </w:r>
    </w:p>
    <w:p w14:paraId="20C99C9B" w14:textId="77777777" w:rsidR="00784EC4" w:rsidRPr="00402488" w:rsidRDefault="00784EC4" w:rsidP="00784EC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6479B6D6" w14:textId="2C682049" w:rsidR="00CC41E9" w:rsidRPr="00402488" w:rsidRDefault="00CC41E9" w:rsidP="00CC41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Iesniegumu izskatīšanas kārtība</w:t>
      </w:r>
    </w:p>
    <w:p w14:paraId="31AB639E" w14:textId="06688922" w:rsidR="00CC41E9" w:rsidRPr="00402488" w:rsidRDefault="00784EC4" w:rsidP="00CC41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C41E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aņemot personas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C41E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esniegumu, </w:t>
      </w:r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 tiek reģistrēts </w:t>
      </w:r>
      <w:bookmarkStart w:id="0" w:name="_Hlk97134350"/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elektroniskajā lietvedības sistēmā</w:t>
      </w:r>
      <w:bookmarkEnd w:id="0"/>
      <w:r w:rsidR="0041146C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EDUS</w:t>
      </w:r>
      <w:r w:rsidR="00CC41E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74E7D1" w14:textId="7E8A20ED" w:rsidR="00CC41E9" w:rsidRPr="00402488" w:rsidRDefault="0041146C" w:rsidP="00CC41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esnieguma piekritības izvērtēšanas un u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zsākot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84EC4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esnieguma izskatīšanas procesu, ombuds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 saņemta iesniedzēja kontaktinformācija, informē iesniedzēju, ka </w:t>
      </w:r>
      <w:r w:rsidR="00313C7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esniegums ir saņemts un uzsākta tā izskatīšana.</w:t>
      </w:r>
    </w:p>
    <w:p w14:paraId="141E1744" w14:textId="73474F13" w:rsidR="00F5539D" w:rsidRPr="00402488" w:rsidRDefault="00F5539D" w:rsidP="00CC41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SEPLP ir saņēmusi vēstuli vai iesniegumu, kas attiecas uz ombuda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SEPLPL 18. pantā noteikto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kompetenci, iesniedzējs tiek informēts, ka konkrēto jautājumu izskata sabiedrisko mediju ombuds. Turpmāko komunikāciju par iesniegumu </w:t>
      </w:r>
      <w:r w:rsidR="00391226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iesniedzēju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un tā izskatīšanu uzņemas ombuds.</w:t>
      </w:r>
    </w:p>
    <w:p w14:paraId="0E71C722" w14:textId="4E37E2CF" w:rsidR="00FF51A2" w:rsidRPr="00402488" w:rsidRDefault="00733CBF" w:rsidP="004E34D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Saņemot iesniegumu, kas saistīts ar profesionālās ētikas pārkāpumu sabiedriskā elektroniskā plašsaziņas līdzekļa saturā, ombuds dod iespēju </w:t>
      </w:r>
      <w:r w:rsidR="0044558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esniegumā minētos apstākļus 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skaidrot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konkrētā plašsaziņas līdzekļa </w:t>
      </w:r>
      <w:r w:rsidR="0034546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atbildīgajam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pārstāvim</w:t>
      </w:r>
      <w:r w:rsidR="00FF51A2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norādot atbildes sniegšanas termiņu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37CE5AB" w14:textId="11B173C2" w:rsidR="004E34D5" w:rsidRPr="00402488" w:rsidRDefault="00FF51A2" w:rsidP="004E34D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Sabiedrisk</w:t>
      </w:r>
      <w:r w:rsidR="0044558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ā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medij</w:t>
      </w:r>
      <w:r w:rsidR="0044558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34546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atbildīgā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pārstāvja atbilde ombudam jāsniedz ne vēlāk </w:t>
      </w:r>
      <w:r w:rsidR="00E11F2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kā </w:t>
      </w:r>
      <w:r w:rsidR="0022502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2502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desmit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darbdienu laikā. Ja atbildi nav iespējams sniegt minētajā termiņā</w:t>
      </w:r>
      <w:r w:rsidR="0075136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sabiedriskā medija pārstāvis minētā termiņa ietvaros informē ombudu par lietas apstākļiem un atbildes sniegšanai nepieciešamo </w:t>
      </w:r>
      <w:r w:rsidR="00B4169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papildu </w:t>
      </w:r>
      <w:r w:rsidR="0075136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laiku. </w:t>
      </w:r>
    </w:p>
    <w:p w14:paraId="6973EE9C" w14:textId="5FB283A9" w:rsidR="004E34D5" w:rsidRPr="00402488" w:rsidRDefault="004E34D5" w:rsidP="004E34D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Izskatot </w:t>
      </w:r>
      <w:r w:rsidR="0044558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esniegumu un veidojot atzinumu par sabiedrisko mediju satura</w:t>
      </w:r>
      <w:r w:rsidRPr="0040248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atbilstību sabiedrisko elektronisko plašsaziņas līdzekļu ētikas kodeksiem un redakcionālajām vadlīnijām, ombuds izmanto sabiedrisko </w:t>
      </w:r>
      <w:r w:rsidR="00B4169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elektronisko plašsaziņas līdzekļu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ētikas kodeksu un redakcionālo vadlīniju aktuālās (</w:t>
      </w:r>
      <w:r w:rsidR="0044558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esnieguma izskatīšanas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laikā spēkā esošās) redakcijas vai tās šo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dokumentu redakcijas, kas bijušas spēkā </w:t>
      </w:r>
      <w:r w:rsidR="0044558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esniegumā minētā satura publicēšanas laikā.</w:t>
      </w:r>
    </w:p>
    <w:p w14:paraId="77F6DD97" w14:textId="75F3034B" w:rsidR="00EA3204" w:rsidRPr="00402488" w:rsidRDefault="0044558C" w:rsidP="00EA320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 mērķi pieņemt izsvērtu un taisnīgu lēmumu</w:t>
      </w:r>
      <w:r w:rsidR="0022502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ombuds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izskatot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esniegumus,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pēc nepieciešamības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 konsultēties ar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B133A4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esniedzēju, elektronisko</w:t>
      </w:r>
      <w:r w:rsidR="00733CBF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plašsaziņas līdzekļu darbiniekiem un konkrētu jomu speciālistiem.</w:t>
      </w:r>
    </w:p>
    <w:p w14:paraId="13D50ACA" w14:textId="77777777" w:rsidR="00EA3204" w:rsidRPr="00402488" w:rsidRDefault="00EA3204" w:rsidP="00EA320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94919" w14:textId="10A691AC" w:rsidR="00CC41E9" w:rsidRPr="00402488" w:rsidRDefault="00EA3204" w:rsidP="00CC41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Iesniegumu izskatīšanas termiņi</w:t>
      </w:r>
    </w:p>
    <w:p w14:paraId="0B096E94" w14:textId="7CED2FBC" w:rsidR="005B0694" w:rsidRPr="0082289D" w:rsidRDefault="005B0694" w:rsidP="0003641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Atbildes uz ombudam iesniegtajiem </w:t>
      </w:r>
      <w:r w:rsidR="0044558C"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esniegumiem tiek sniegtas ne vēlāk kā viena mēneša laikā no </w:t>
      </w:r>
      <w:r w:rsidR="0044558C"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esnieguma iesniegšanas dienas. Ja jautājuma noskaidrošanai nepieciešams ilgāks laiks, iesniedzējs tiek informēts par jau veiktajām darbībām, nepieciešamību pagarināt atbildes sniegšanas termiņu un iespējamo atbildes sniegšanas laiku.</w:t>
      </w:r>
    </w:p>
    <w:p w14:paraId="7727846B" w14:textId="36E720A4" w:rsidR="005B0694" w:rsidRPr="00402488" w:rsidRDefault="005B0694" w:rsidP="00C5271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 iesniedzējs norādījis, ka nevēlas saņemt atbildi, tā netiek sniegta.</w:t>
      </w:r>
    </w:p>
    <w:p w14:paraId="5BDBF2AB" w14:textId="5E71CE59" w:rsidR="005A378F" w:rsidRPr="00402488" w:rsidRDefault="005A378F" w:rsidP="00C5271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iesniedzēja </w:t>
      </w:r>
      <w:r w:rsidR="0044558C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esniegums nav ombuda kompetencē,</w:t>
      </w:r>
      <w:r w:rsidR="00EB53A7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417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ombuds </w:t>
      </w:r>
      <w:r w:rsidR="003F15B0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septiņu (7)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15B0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darb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dienu laikā </w:t>
      </w:r>
      <w:r w:rsidR="00EB53A7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="003F15B0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esniegum</w:t>
      </w:r>
      <w:r w:rsidR="00EB53A7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a saņemšanas dienas to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53A7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pārsūta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pēc piekritības</w:t>
      </w:r>
      <w:r w:rsidR="0044558C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 to informējot </w:t>
      </w:r>
      <w:r w:rsidR="003F15B0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B53A7"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esnieguma </w:t>
      </w:r>
      <w:r w:rsidRPr="00402488">
        <w:rPr>
          <w:rFonts w:ascii="Times New Roman" w:hAnsi="Times New Roman" w:cs="Times New Roman"/>
          <w:sz w:val="24"/>
          <w:szCs w:val="24"/>
          <w:shd w:val="clear" w:color="auto" w:fill="FFFFFF"/>
        </w:rPr>
        <w:t>iesniedzēju.</w:t>
      </w:r>
    </w:p>
    <w:p w14:paraId="075FD4FD" w14:textId="77777777" w:rsidR="00435BC6" w:rsidRPr="00402488" w:rsidRDefault="00435BC6" w:rsidP="00435BC6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0E37B" w14:textId="6EF37F67" w:rsidR="006933E9" w:rsidRPr="00402488" w:rsidRDefault="006933E9" w:rsidP="006933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Ombuda atzinumi</w:t>
      </w:r>
      <w:r w:rsidR="001F4DA4"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un lēmumi</w:t>
      </w:r>
    </w:p>
    <w:p w14:paraId="581760E0" w14:textId="6329971B" w:rsidR="00C8496E" w:rsidRPr="00402488" w:rsidRDefault="00C8496E" w:rsidP="00C8496E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Sabiedrisko elektronisko plašsaziņas līdzekļu o</w:t>
      </w:r>
      <w:r w:rsidR="006933E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mbuds sagatavo atzinumu par katru </w:t>
      </w:r>
      <w:r w:rsidR="003F15B0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6933E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</w:t>
      </w:r>
      <w:r w:rsidR="003F15B0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22771" w:rsidRPr="008228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 saistīts ar iespējamu profesionālās ētikas pārkāpumu,</w:t>
      </w:r>
      <w:r w:rsidR="00322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izņemot šīs kārtības 3.3. punktā noteiktajā gadījumā</w:t>
      </w:r>
      <w:r w:rsidR="00361FE7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Atzinums kopā ar </w:t>
      </w:r>
      <w:r w:rsidR="003F15B0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esniegumu un citiem dokumentiem tiek glabāts</w:t>
      </w:r>
      <w:r w:rsidR="00065955" w:rsidRPr="00402488">
        <w:rPr>
          <w:rFonts w:ascii="Times New Roman" w:hAnsi="Times New Roman" w:cs="Times New Roman"/>
          <w:sz w:val="24"/>
          <w:szCs w:val="24"/>
        </w:rPr>
        <w:t xml:space="preserve"> SEPLP </w:t>
      </w:r>
      <w:r w:rsidR="00065955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elektroniskajā lietvedības sistēmā atbilstoši tiesību normatīva</w:t>
      </w:r>
      <w:r w:rsidR="00C27C5C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jos</w:t>
      </w:r>
      <w:r w:rsidR="00065955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aktos noteiktajam dokumentu glabāšanas termiņam.</w:t>
      </w:r>
    </w:p>
    <w:p w14:paraId="71DE7481" w14:textId="5A673C25" w:rsidR="00435BC6" w:rsidRPr="00402488" w:rsidRDefault="00C8496E" w:rsidP="00435BC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Saskaņā ar SEPL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F7445E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18.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panta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otro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daļu sabiedrisko elektronisko plašsaziņas līdzekļu ombuda lēmums </w:t>
      </w:r>
      <w:r w:rsidR="003F15B0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esnieguma iesniedzējam nav saistošs un nav nedz apstrīdams, nedz pārsūdzams.</w:t>
      </w:r>
    </w:p>
    <w:p w14:paraId="1D9EDB32" w14:textId="237FF8EC" w:rsidR="00435BC6" w:rsidRPr="00402488" w:rsidRDefault="00435BC6" w:rsidP="00435BC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Saskaņā ar SEP</w:t>
      </w:r>
      <w:r w:rsidR="00F7445E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F7445E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18.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panta </w:t>
      </w:r>
      <w:r w:rsidR="004F2E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otro</w:t>
      </w:r>
      <w:r w:rsidR="00B4169B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daļu sabiedriskie elektroniskie plašsaziņas līdzekļi ņem vērā sabiedrisko elektronisko plašsaziņas līdzekļu ombuda atzinumā ietvertos secinājumus. Īpašos gadījumos sabiedriskais elektroniskais plašsaziņas līdzeklis var šos secinājumus neņemt vērā, atteikumu pamatojot rakstveidā.</w:t>
      </w:r>
    </w:p>
    <w:p w14:paraId="73E96E78" w14:textId="1A998FDD" w:rsidR="00F05CFD" w:rsidRPr="00402488" w:rsidRDefault="00F05CFD" w:rsidP="00435BC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 sabiedrisko elektronisko plašsaziņas līdzekļu ombuds ir pieņēmis lēmumu, ka sabiedriskais elektroniskais plašsaziņas līdzeklis ir pārkāpis ētikas kodeksu vai redakcionālās vadlīnijas, sabiedriskais medijs savā mājas lapā un programmā publicē atvainošanos. </w:t>
      </w:r>
    </w:p>
    <w:p w14:paraId="2143DF0B" w14:textId="0D5D0B7D" w:rsidR="00435BC6" w:rsidRPr="00402488" w:rsidRDefault="00435BC6" w:rsidP="00435BC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Sabiedriskie elektroniskie plašsaziņas līdzekļi publisko ombuda atzinumu </w:t>
      </w:r>
      <w:r w:rsidR="002F3CDD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vai lēmumu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savās tīmekļa mājas lapās.</w:t>
      </w:r>
    </w:p>
    <w:p w14:paraId="5C57E4FE" w14:textId="50ED6E03" w:rsidR="006933E9" w:rsidRPr="00402488" w:rsidRDefault="00C8496E" w:rsidP="006933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Ombuda atzinums vai lēmums 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tiek publicēts SEPLP mājas lapas ombuda sadaļā</w:t>
      </w:r>
      <w:r w:rsidR="00AD5A63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AA7A84F" w14:textId="140907D6" w:rsidR="00E977B1" w:rsidRPr="00402488" w:rsidRDefault="00E977B1" w:rsidP="006933E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Atzinuma</w:t>
      </w:r>
      <w:r w:rsidR="00C8496E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publisk</w:t>
      </w:r>
      <w:r w:rsidR="0035017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otajā</w:t>
      </w:r>
      <w:r w:rsidR="00C8496E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versijā </w:t>
      </w:r>
      <w:r w:rsidR="00350179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C8496E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esniedzēja dati ir anonimizēti</w:t>
      </w:r>
      <w:r w:rsidR="003F15B0" w:rsidRPr="00402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97E6799" w14:textId="77777777" w:rsidR="003B7BB3" w:rsidRPr="00402488" w:rsidRDefault="003B7BB3" w:rsidP="003B7BB3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DCC65" w14:textId="0E6B7853" w:rsidR="00345469" w:rsidRPr="00402488" w:rsidRDefault="00345469" w:rsidP="003454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Informācijas sniegšana par saņemtajiem iesniegumiem</w:t>
      </w:r>
      <w:r w:rsidR="006933E9"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lēmumiem</w:t>
      </w:r>
    </w:p>
    <w:p w14:paraId="587A847E" w14:textId="7F7D46F4" w:rsidR="00345469" w:rsidRPr="00402488" w:rsidRDefault="004F2EFD" w:rsidP="0034546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</w:t>
      </w:r>
      <w:r w:rsidR="0034546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mbuds apkopo </w:t>
      </w:r>
      <w:r w:rsidR="00D73DD7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saņemtos</w:t>
      </w:r>
      <w:r w:rsidR="0034546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iesniegumus un informāciju par to saturu apkopotā un anonimizētā veidā</w:t>
      </w:r>
      <w:r w:rsidR="006933E9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, sniedzot par tiem informāciju ikgadējā ziņojumā par savu darbu.</w:t>
      </w:r>
    </w:p>
    <w:p w14:paraId="442810AE" w14:textId="2702FCF1" w:rsidR="006933E9" w:rsidRPr="00402488" w:rsidRDefault="006933E9" w:rsidP="0034546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Informāciju par </w:t>
      </w:r>
      <w:r w:rsidR="003F15B0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esniegumos minēto 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savus atzinumus </w:t>
      </w: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ombuds anonimizētā veidā var izmantot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sabiedrības medijpratības veicināšanai un saiknes ar sabiedrību veidoš</w:t>
      </w:r>
      <w:r w:rsidR="003B7BB3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977B1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nai.</w:t>
      </w:r>
    </w:p>
    <w:p w14:paraId="17438319" w14:textId="77777777" w:rsidR="003B7BB3" w:rsidRPr="00402488" w:rsidRDefault="003B7BB3" w:rsidP="003B7BB3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59B28" w14:textId="609FDF17" w:rsidR="003F15B0" w:rsidRPr="00402488" w:rsidRDefault="00345469" w:rsidP="00EA32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Personas datu apstrāde</w:t>
      </w:r>
    </w:p>
    <w:p w14:paraId="48C99A57" w14:textId="5114D60E" w:rsidR="00EA3204" w:rsidRPr="00402488" w:rsidRDefault="00345469" w:rsidP="0082289D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Ombudam adresētajos iesniegumos minētie personas dati tiek apstrādāti</w:t>
      </w:r>
      <w:r w:rsidR="00D05AB0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tikai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SEPLPL noteikto</w:t>
      </w:r>
      <w:r w:rsidR="00D05AB0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095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05AB0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mbuda un SEPLP funkciju izpildei un atbilstoši spēkā esošajiem datu aizsardzības tiesību aktiem un </w:t>
      </w:r>
      <w:r w:rsidR="00520E7A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SEPLP </w:t>
      </w:r>
      <w:r w:rsidR="00D05AB0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iekšējiem tiesību aktiem.</w:t>
      </w:r>
    </w:p>
    <w:p w14:paraId="6F4BAAD2" w14:textId="361196F3" w:rsidR="00C96678" w:rsidRPr="00402488" w:rsidRDefault="00C96678" w:rsidP="00C5271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BD8B620" w14:textId="4CA98EEC" w:rsidR="00AB47D1" w:rsidRPr="00402488" w:rsidRDefault="00AB47D1" w:rsidP="0084327B">
      <w:pPr>
        <w:spacing w:line="360" w:lineRule="auto"/>
        <w:jc w:val="center"/>
        <w:rPr>
          <w:color w:val="000000"/>
        </w:rPr>
      </w:pPr>
      <w:r w:rsidRPr="00402488">
        <w:t>*</w:t>
      </w:r>
      <w:r w:rsidRPr="0082289D">
        <w:t>DOKUMENTS PARAKSTĪTS AR DROŠU ELEKTRONISKO PARAKSTU UN SATUR LAIKA ZĪMOGU</w:t>
      </w:r>
    </w:p>
    <w:sectPr w:rsidR="00AB47D1" w:rsidRPr="00402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7EB6"/>
    <w:multiLevelType w:val="hybridMultilevel"/>
    <w:tmpl w:val="00BA5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C65DB"/>
    <w:multiLevelType w:val="hybridMultilevel"/>
    <w:tmpl w:val="557A7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6E5B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793D"/>
    <w:multiLevelType w:val="multilevel"/>
    <w:tmpl w:val="8732EB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414142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414142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414142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414142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414142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414142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414142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414142"/>
        <w:sz w:val="20"/>
      </w:rPr>
    </w:lvl>
  </w:abstractNum>
  <w:abstractNum w:abstractNumId="3" w15:restartNumberingAfterBreak="0">
    <w:nsid w:val="629A0816"/>
    <w:multiLevelType w:val="hybridMultilevel"/>
    <w:tmpl w:val="98A2F26A"/>
    <w:lvl w:ilvl="0" w:tplc="CA5CE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103053">
    <w:abstractNumId w:val="1"/>
  </w:num>
  <w:num w:numId="2" w16cid:durableId="37364090">
    <w:abstractNumId w:val="2"/>
  </w:num>
  <w:num w:numId="3" w16cid:durableId="829561357">
    <w:abstractNumId w:val="3"/>
  </w:num>
  <w:num w:numId="4" w16cid:durableId="6818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6B"/>
    <w:rsid w:val="00020D8E"/>
    <w:rsid w:val="00036417"/>
    <w:rsid w:val="00044A8F"/>
    <w:rsid w:val="00065955"/>
    <w:rsid w:val="00071652"/>
    <w:rsid w:val="000C0A79"/>
    <w:rsid w:val="000C2699"/>
    <w:rsid w:val="000E17A6"/>
    <w:rsid w:val="000F5C0A"/>
    <w:rsid w:val="0012558D"/>
    <w:rsid w:val="00135630"/>
    <w:rsid w:val="00136C77"/>
    <w:rsid w:val="001405B8"/>
    <w:rsid w:val="00176589"/>
    <w:rsid w:val="001B768F"/>
    <w:rsid w:val="001C4A4C"/>
    <w:rsid w:val="001F4DA4"/>
    <w:rsid w:val="00216333"/>
    <w:rsid w:val="00217AEF"/>
    <w:rsid w:val="00225021"/>
    <w:rsid w:val="00260566"/>
    <w:rsid w:val="002A293E"/>
    <w:rsid w:val="002B097A"/>
    <w:rsid w:val="002C24AB"/>
    <w:rsid w:val="002F3CDD"/>
    <w:rsid w:val="00313C77"/>
    <w:rsid w:val="0031427F"/>
    <w:rsid w:val="00322771"/>
    <w:rsid w:val="00345469"/>
    <w:rsid w:val="00350179"/>
    <w:rsid w:val="00361FE7"/>
    <w:rsid w:val="00367848"/>
    <w:rsid w:val="00370F37"/>
    <w:rsid w:val="00391226"/>
    <w:rsid w:val="003B3493"/>
    <w:rsid w:val="003B7BB3"/>
    <w:rsid w:val="003F15B0"/>
    <w:rsid w:val="003F239E"/>
    <w:rsid w:val="00402488"/>
    <w:rsid w:val="00407783"/>
    <w:rsid w:val="0041146C"/>
    <w:rsid w:val="00416235"/>
    <w:rsid w:val="00435BC6"/>
    <w:rsid w:val="0044558C"/>
    <w:rsid w:val="00460C74"/>
    <w:rsid w:val="00471430"/>
    <w:rsid w:val="004B1A96"/>
    <w:rsid w:val="004B652C"/>
    <w:rsid w:val="004E34D5"/>
    <w:rsid w:val="004F2064"/>
    <w:rsid w:val="004F2EFD"/>
    <w:rsid w:val="00520E7A"/>
    <w:rsid w:val="00551BB9"/>
    <w:rsid w:val="00586095"/>
    <w:rsid w:val="005A378F"/>
    <w:rsid w:val="005B02FB"/>
    <w:rsid w:val="005B0694"/>
    <w:rsid w:val="005B65B2"/>
    <w:rsid w:val="005B7157"/>
    <w:rsid w:val="005E3016"/>
    <w:rsid w:val="00612E43"/>
    <w:rsid w:val="00614A97"/>
    <w:rsid w:val="00643AAF"/>
    <w:rsid w:val="006933E9"/>
    <w:rsid w:val="006970CB"/>
    <w:rsid w:val="006A33DA"/>
    <w:rsid w:val="0070433B"/>
    <w:rsid w:val="00720913"/>
    <w:rsid w:val="007301BC"/>
    <w:rsid w:val="00733CBF"/>
    <w:rsid w:val="00743598"/>
    <w:rsid w:val="00751369"/>
    <w:rsid w:val="0075199B"/>
    <w:rsid w:val="00774C27"/>
    <w:rsid w:val="00784EC4"/>
    <w:rsid w:val="00791657"/>
    <w:rsid w:val="007A5EF8"/>
    <w:rsid w:val="007F481D"/>
    <w:rsid w:val="0082289D"/>
    <w:rsid w:val="00824445"/>
    <w:rsid w:val="0084327B"/>
    <w:rsid w:val="00930F24"/>
    <w:rsid w:val="009546FA"/>
    <w:rsid w:val="00967B6A"/>
    <w:rsid w:val="009D620F"/>
    <w:rsid w:val="009E77D1"/>
    <w:rsid w:val="00A24D09"/>
    <w:rsid w:val="00A96D6D"/>
    <w:rsid w:val="00AB47D1"/>
    <w:rsid w:val="00AD5A63"/>
    <w:rsid w:val="00AD7A5B"/>
    <w:rsid w:val="00AF44C3"/>
    <w:rsid w:val="00AF59D9"/>
    <w:rsid w:val="00B133A4"/>
    <w:rsid w:val="00B16061"/>
    <w:rsid w:val="00B4169B"/>
    <w:rsid w:val="00B4210E"/>
    <w:rsid w:val="00B43E5B"/>
    <w:rsid w:val="00B823D3"/>
    <w:rsid w:val="00BA3221"/>
    <w:rsid w:val="00BC3DAF"/>
    <w:rsid w:val="00BD486B"/>
    <w:rsid w:val="00BD5385"/>
    <w:rsid w:val="00BE2CD1"/>
    <w:rsid w:val="00BF7560"/>
    <w:rsid w:val="00C00D3A"/>
    <w:rsid w:val="00C27C5C"/>
    <w:rsid w:val="00C30D2D"/>
    <w:rsid w:val="00C42DB4"/>
    <w:rsid w:val="00C52713"/>
    <w:rsid w:val="00C700A7"/>
    <w:rsid w:val="00C8496E"/>
    <w:rsid w:val="00C917E8"/>
    <w:rsid w:val="00C96678"/>
    <w:rsid w:val="00CC41E9"/>
    <w:rsid w:val="00CF08B9"/>
    <w:rsid w:val="00CF779F"/>
    <w:rsid w:val="00D05AB0"/>
    <w:rsid w:val="00D17DAE"/>
    <w:rsid w:val="00D40A86"/>
    <w:rsid w:val="00D72C83"/>
    <w:rsid w:val="00D73DD7"/>
    <w:rsid w:val="00DA3303"/>
    <w:rsid w:val="00DF0232"/>
    <w:rsid w:val="00E01957"/>
    <w:rsid w:val="00E01E05"/>
    <w:rsid w:val="00E11F2B"/>
    <w:rsid w:val="00E35716"/>
    <w:rsid w:val="00E4511F"/>
    <w:rsid w:val="00E65772"/>
    <w:rsid w:val="00E657B4"/>
    <w:rsid w:val="00E85311"/>
    <w:rsid w:val="00E85BCF"/>
    <w:rsid w:val="00E971EA"/>
    <w:rsid w:val="00E977B1"/>
    <w:rsid w:val="00EA3204"/>
    <w:rsid w:val="00EA56B9"/>
    <w:rsid w:val="00EB53A7"/>
    <w:rsid w:val="00F05CFD"/>
    <w:rsid w:val="00F1691B"/>
    <w:rsid w:val="00F224F8"/>
    <w:rsid w:val="00F24E73"/>
    <w:rsid w:val="00F52779"/>
    <w:rsid w:val="00F542C7"/>
    <w:rsid w:val="00F5539D"/>
    <w:rsid w:val="00F7445E"/>
    <w:rsid w:val="00F8004B"/>
    <w:rsid w:val="00FD3006"/>
    <w:rsid w:val="00FE4A86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A0744"/>
  <w15:chartTrackingRefBased/>
  <w15:docId w15:val="{74D2A384-17CB-4D0D-8511-FE3FE5D0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B3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493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C41E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8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EC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C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4E34D5"/>
  </w:style>
  <w:style w:type="paragraph" w:styleId="Revision">
    <w:name w:val="Revision"/>
    <w:hidden/>
    <w:uiPriority w:val="99"/>
    <w:semiHidden/>
    <w:rsid w:val="00BF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14A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tvij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buds@seplp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3CC2-E19A-4B59-974F-48D4B581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6598</Words>
  <Characters>3761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Rožukalne</dc:creator>
  <cp:keywords/>
  <dc:description/>
  <cp:lastModifiedBy>Aija Krolle</cp:lastModifiedBy>
  <cp:revision>3</cp:revision>
  <dcterms:created xsi:type="dcterms:W3CDTF">2023-03-08T08:25:00Z</dcterms:created>
  <dcterms:modified xsi:type="dcterms:W3CDTF">2023-03-09T11:56:00Z</dcterms:modified>
</cp:coreProperties>
</file>